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3" w:rsidRPr="00BC42DB" w:rsidRDefault="00C47E63" w:rsidP="00C47E63">
      <w:pPr>
        <w:tabs>
          <w:tab w:val="right" w:pos="9355"/>
        </w:tabs>
        <w:spacing w:after="0" w:line="240" w:lineRule="auto"/>
        <w:ind w:firstLine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2DB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C47E63" w:rsidRPr="00BC42DB" w:rsidRDefault="00C47E63" w:rsidP="00C47E63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C42D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Совета ФПОО</w:t>
      </w:r>
    </w:p>
    <w:p w:rsidR="00C47E63" w:rsidRPr="00BC42DB" w:rsidRDefault="00C47E63" w:rsidP="00C47E63">
      <w:pPr>
        <w:spacing w:after="0" w:line="240" w:lineRule="auto"/>
        <w:ind w:left="48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2DB">
        <w:rPr>
          <w:rFonts w:ascii="Times New Roman" w:eastAsia="Times New Roman" w:hAnsi="Times New Roman"/>
          <w:sz w:val="24"/>
          <w:szCs w:val="24"/>
          <w:lang w:eastAsia="ru-RU"/>
        </w:rPr>
        <w:t>от 26 мая 2022 г. №  6-2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информационного взаимодействия 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Федерации профсоюзов Орловской области с ФНПР, членскими и первичными профсоюзными организациями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2022-2025 годы</w:t>
      </w:r>
    </w:p>
    <w:p w:rsidR="00C47E63" w:rsidRPr="00BC42DB" w:rsidRDefault="00C47E63" w:rsidP="00C47E6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проблемы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В ходе работы над пропагандой профсоюзной идеологии, укреплением положительного имиджа профсоюзного движения в общественном сознании, усилением мотивации профсоюзного членства информационная работа Федерации профсоюзов Орловской области и ее членских организаций становится неотъемлемым инструментом решения уставных задач, равным по значимости основным направлениям профсоюзной работы.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годом необходимость ведения более грамотной, структурированной, полноценной и всесторонней информационной работы для профсоюзов становится все актуальнее. А роль информации о деятельности профсоюзов, в первую очередь в вопросах социально-трудовой сферы, приобретает важнейшее значение и непосредственно влияет на мотивацию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профчленства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. Поэтому следует говорить о том, что информационная работа и информационное взаимодействие внутри профсоюзных структур имеют стратегическое значение, от </w:t>
      </w:r>
      <w:proofErr w:type="gram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proofErr w:type="gram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которых во многом зависит будущее профсоюзного движения на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Орловщине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Федерации профсоюзов Орловской области и отдельных членских организациях информационная работа выстроена и системно ведется: действуют собственные сайты или </w:t>
      </w:r>
      <w:proofErr w:type="gram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интернет-страницы</w:t>
      </w:r>
      <w:proofErr w:type="gram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, группы в социальных сетях и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мессенджерах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издаются информационные бюллетени и методическая литература. Однако современные условия требуют усиления эффективности проводимой работы по созданию единого информационного пространства профсоюзов, каналов распространения информации, расширения обмена опытом профсоюзной работы среди профорганизаций различных уровней,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профсоюзов. Этому будет способствовать данная Программа информационного взаимодействия Федерации профсоюзов Орловской области с ФНПР, членскими и первичными организациями. 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Концепцией информационной политики ФНПР, Уставами ФНПР и ФПОО, резолюциями Съездов ФНПР и направлена на решение задач Федерации профсоюзов Орловской области и ее членских организаций в сфере информационной политики.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и основные задачи Программы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информационного взаимодействия является укрепление и развитие профсоюзного движения в Орловской области через его популяризацию и рост авторитета в обществе, внедрение и развитие инструментов цифрового взаимодействия между элементами профсоюзной структуры и членами профсоюзов.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данной цели необходимо решить следующие задачи: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информированности населения о социально-трудовых правах и экономических интересах работников всех форм занятости и деятельности профсоюзов по защите этих прав и интересов через развитие созданной многоканальной системы информирования профсоюзных организаций и ее совершенствование через профсоюзные СМИ (газеты «Солидарность», «Профсоюзный вестник»), сайты ФНПР, ФПОО и членских организаций, группы в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, информационные бюллетени и другие формы информационной работы;</w:t>
      </w:r>
      <w:proofErr w:type="gramEnd"/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наряду с использованием традиционных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медиапродуктов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новых форм и методов информационной работы для повышения имиджа и узнаваемости профсоюзов;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бесперебойной работы оперативных каналов распространения профсоюзной информации, </w:t>
      </w:r>
      <w:proofErr w:type="spellStart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с целью постоянного и полного информирования членов профсоюзов о деятельности профсоюзных органов по защите социально- экономических прав и законных интересов работников, функционировании института социального партнерства, коллективных действиях, результатах правозащитной деятельности;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системы подготовки и обучения информационных работников и активистов, ответственных</w:t>
      </w:r>
      <w:r w:rsidRPr="00BC42DB">
        <w:rPr>
          <w:rFonts w:ascii="Times New Roman" w:hAnsi="Times New Roman"/>
          <w:sz w:val="28"/>
          <w:szCs w:val="28"/>
        </w:rPr>
        <w:t xml:space="preserve"> за информационную работу в профсоюзных организациях различного уровня;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вовлечение активных членов профсоюзов в информационную работу на всех уровнях профсоюзной структуры;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 xml:space="preserve">- </w:t>
      </w: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42DB">
        <w:rPr>
          <w:rFonts w:ascii="Times New Roman" w:hAnsi="Times New Roman"/>
          <w:sz w:val="28"/>
          <w:szCs w:val="28"/>
        </w:rPr>
        <w:t xml:space="preserve">беспечение взаимодействия с электронными и печатными СМИ Орловской области, региональными институтами гражданского общества. </w:t>
      </w:r>
    </w:p>
    <w:p w:rsidR="00C47E63" w:rsidRPr="00BC42DB" w:rsidRDefault="00C47E63" w:rsidP="00C47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принципы реализации Программы </w:t>
      </w:r>
    </w:p>
    <w:p w:rsidR="00C47E63" w:rsidRPr="00BC42DB" w:rsidRDefault="00C47E63" w:rsidP="00C47E6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Программа информационного взаимодействия реализуется в соответствии со следующими принципами: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комплексный подход при формировании и реализации информационной политики профсоюзов;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взаимодействие всех уровней профсоюзной структуры при реализации информационной политики;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учет интересов и потребностей различных социальных групп членов профсоюзов;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lastRenderedPageBreak/>
        <w:t>- участие информационных работников и активистов профсоюзных организаций различного уровня в разработке и реализации приоритетных направлений информационной политики профсоюзов;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информационная открытость профсоюзных организаций любого уровня;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обеспечение объективности, оперативности и творческого подхода при производстве любых информационных профсоюзных продуктов;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социальное партнерство;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анализ и объективная оценка результатов информационной работы.</w:t>
      </w:r>
    </w:p>
    <w:p w:rsidR="00C47E63" w:rsidRPr="00BC42DB" w:rsidRDefault="00C47E63" w:rsidP="00C47E6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Приоритетные направления Программы</w:t>
      </w:r>
    </w:p>
    <w:p w:rsidR="00C47E63" w:rsidRPr="00BC42DB" w:rsidRDefault="00C47E63" w:rsidP="00C47E6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Программа информационного взаимодействия в соответствии с целями, задачами и принципами информационной политики профсоюзов определяет следующие приоритетные направления работы: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повышение престижа профсоюзного членства через освещение деятельности профсоюзов, коллективные действия, PR-акции, социальную рекламу, формирующие позитивное отношение к профсоюзам как к организации, защищающей права и интересы работников и обучающихся;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формирование у членов профсоюзов таких ценностей как уважение к человеку труда, ответственное отношение к своей работе, солидарность, чувство гордости за свою профессию и принадлежность к профсоюзному движению, готовность к участию в профсоюзных акциях, поддержка профсоюзных кампаний;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создание и развитие в каждой членской организации информационной структуры;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C42D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BC42DB">
        <w:rPr>
          <w:rFonts w:ascii="Times New Roman" w:hAnsi="Times New Roman"/>
          <w:sz w:val="28"/>
          <w:szCs w:val="28"/>
        </w:rPr>
        <w:t xml:space="preserve"> профсоюзной деятельности;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активизация работы по увеличению подписки на профсоюзную газету «Солидарность» в количестве не менее одного экземпляра на сто членов профсоюза;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развитие и активное использование в работе профсоюзных средств массовой информации, в первую очередь газеты «Профсоюзный вестник», улучшение качества опубликованных в ней материалов;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расширение взаимодействия с внешними СМИ, пропаганда ценности достойного труда, социального партнерства и правозащитной работы профсоюзов во </w:t>
      </w:r>
      <w:proofErr w:type="spellStart"/>
      <w:r w:rsidRPr="00BC42DB">
        <w:rPr>
          <w:rFonts w:ascii="Times New Roman" w:hAnsi="Times New Roman"/>
          <w:sz w:val="28"/>
          <w:szCs w:val="28"/>
        </w:rPr>
        <w:t>внепрофсоюзной</w:t>
      </w:r>
      <w:proofErr w:type="spellEnd"/>
      <w:r w:rsidRPr="00BC42DB">
        <w:rPr>
          <w:rFonts w:ascii="Times New Roman" w:hAnsi="Times New Roman"/>
          <w:sz w:val="28"/>
          <w:szCs w:val="28"/>
        </w:rPr>
        <w:t xml:space="preserve"> среде, освещение результатов профсоюзных мероприятий, распространение информации о положительном опыте работы профсоюзных организаций;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организация информационных кампаний по отстаиванию интересов и прав работающего человека и обучающихся, участие в проведении кампаний в защиту прав профорганизаций и </w:t>
      </w:r>
      <w:proofErr w:type="spellStart"/>
      <w:r w:rsidRPr="00BC42DB">
        <w:rPr>
          <w:rFonts w:ascii="Times New Roman" w:hAnsi="Times New Roman"/>
          <w:sz w:val="28"/>
          <w:szCs w:val="28"/>
        </w:rPr>
        <w:t>профактивистов</w:t>
      </w:r>
      <w:proofErr w:type="spellEnd"/>
      <w:r w:rsidRPr="00BC42DB">
        <w:rPr>
          <w:rFonts w:ascii="Times New Roman" w:hAnsi="Times New Roman"/>
          <w:sz w:val="28"/>
          <w:szCs w:val="28"/>
        </w:rPr>
        <w:t>, в поддержку акций солидарности профсоюзов;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усиление работы в социальных сетях, как одном из наиболее популярных, доступных и оперативных каналов донесения информации, увеличение количества подписчиков профсоюзных страниц;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lastRenderedPageBreak/>
        <w:t>- расширение практики создания и распространения видеоматериалов по актуальным темам работы профсоюзов;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широкое вовлечение молодежных советов членских организаций ФПОО в процесс освоения и активного использования новых инструментов коммуникации, информационной, агитационной и пропагандистской работы;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организация площадок для обмена опытом информационной работы профсоюзов, в том числе через проведение тематических круглых столов, семинаров по обмену опытом, конкурсов, других форм;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проведение агитационной, пропагандистской, разъяснительной работы об истории профсоюзов, их целях, практике защиты трудовых прав работников;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проведение в учреждениях среднего, средне-специального и высшего образования мероприятий по знакомству с деятельностью профсоюзов («Профсоюзные уроки», экскурсии для студентов и школьников в музей истории профсоюзного движения ФПОО и др.);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>- анализ и распространение лучших практик ФПОО и ее членских организаций по ведению информационной работы;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2DB">
        <w:rPr>
          <w:rFonts w:ascii="Times New Roman" w:hAnsi="Times New Roman"/>
          <w:sz w:val="28"/>
          <w:szCs w:val="28"/>
        </w:rPr>
        <w:t xml:space="preserve">- использование возможностей </w:t>
      </w:r>
      <w:proofErr w:type="spellStart"/>
      <w:r w:rsidRPr="00BC42DB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BC42DB">
        <w:rPr>
          <w:rFonts w:ascii="Times New Roman" w:hAnsi="Times New Roman"/>
          <w:sz w:val="28"/>
          <w:szCs w:val="28"/>
        </w:rPr>
        <w:t xml:space="preserve"> системы привлечения средств на информационные проекты профсоюзов.</w:t>
      </w:r>
    </w:p>
    <w:p w:rsidR="00C47E63" w:rsidRPr="00BC42DB" w:rsidRDefault="00C47E63" w:rsidP="00C47E6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Показатели оценки эффективности Программы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Эффективность работы профсоюзной организации на любом уровне организационной структуры в рамках Программы информационного взаимодействия может быть оценена по следующим целевым показателям: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 xml:space="preserve">- наличие </w:t>
      </w:r>
      <w:proofErr w:type="gramStart"/>
      <w:r w:rsidRPr="00BC42DB">
        <w:rPr>
          <w:rFonts w:ascii="Times New Roman" w:hAnsi="Times New Roman"/>
          <w:bCs/>
          <w:sz w:val="28"/>
          <w:szCs w:val="28"/>
        </w:rPr>
        <w:t>ответственного</w:t>
      </w:r>
      <w:proofErr w:type="gramEnd"/>
      <w:r w:rsidRPr="00BC42DB">
        <w:rPr>
          <w:rFonts w:ascii="Times New Roman" w:hAnsi="Times New Roman"/>
          <w:bCs/>
          <w:sz w:val="28"/>
          <w:szCs w:val="28"/>
        </w:rPr>
        <w:t xml:space="preserve"> за информационную работу в организации;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финансирование информационно-пропагандистской работы не ниже 5% от профсоюзного бюджета;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системность (регулярность, содержательность материалов) информационного взаимодействия на всех уровнях профсоюзной структуры;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 xml:space="preserve">- статистика посещаемости и вовлеченности аудитории сайта и страниц в социальных сетях;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показатель цитируемости профсоюзных лидеров и число публикаций положительной тональности о деятельности профорганизации в СМИ;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охват членов профсоюза и несоюзной аудитории каналами распространения профсоюзной информации;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уровень доступности цифрового взаимодействия (наличие контактной информации, форм обратной связи, «горячих линий», скорость получения обратной связи и т.п.) с выборным органом и аппаратом профсоюзной организации для членов профсоюза, степень внедрения цифровых технологий в профсоюзную работу;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 xml:space="preserve">- число участников профсоюзных акций и кампаний, в том числе в сети Интернет; 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42DB">
        <w:rPr>
          <w:rFonts w:ascii="Times New Roman" w:hAnsi="Times New Roman"/>
          <w:bCs/>
          <w:sz w:val="28"/>
          <w:szCs w:val="28"/>
        </w:rPr>
        <w:t>- число обученных информационных работников и информационных активистов.</w:t>
      </w:r>
    </w:p>
    <w:p w:rsidR="00C47E63" w:rsidRPr="00BC42DB" w:rsidRDefault="00C47E63" w:rsidP="00C47E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Программы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реализации программы</w:t>
      </w: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 xml:space="preserve"> 2022 - 2025 годы.</w:t>
      </w:r>
    </w:p>
    <w:p w:rsidR="00C47E63" w:rsidRPr="00BC42DB" w:rsidRDefault="00C47E63" w:rsidP="00C4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Финансирование</w:t>
      </w:r>
    </w:p>
    <w:p w:rsidR="00C47E63" w:rsidRPr="00BC42DB" w:rsidRDefault="00C47E63" w:rsidP="00C47E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информационного взаимодействия осуществляется в рамках текущих расходов профсоюзных организаций в объемах, определяемых сметой Федерации профсоюзов Орловской области, сметами членских и первичных профсоюзных организаций, утверждаемых выборными профсоюзными органами, но оно должно составлять не менее 5% от бюджета на каждом из уровней профсоюзной структуры.</w:t>
      </w: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</w:t>
      </w:r>
    </w:p>
    <w:p w:rsidR="00C47E63" w:rsidRPr="00BC42DB" w:rsidRDefault="00C47E63" w:rsidP="00C47E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реализации Программы на 2022-2025 годы</w:t>
      </w:r>
    </w:p>
    <w:p w:rsidR="00C47E63" w:rsidRPr="00BC42DB" w:rsidRDefault="00C47E63" w:rsidP="00C47E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31"/>
        <w:gridCol w:w="29"/>
        <w:gridCol w:w="2625"/>
        <w:gridCol w:w="59"/>
        <w:gridCol w:w="16"/>
        <w:gridCol w:w="1969"/>
      </w:tblGrid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ind w:left="-1492" w:firstLine="149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C47E63" w:rsidRPr="00BC42DB" w:rsidTr="007A6E80">
        <w:tc>
          <w:tcPr>
            <w:tcW w:w="10357" w:type="dxa"/>
            <w:gridSpan w:val="7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47E63" w:rsidRPr="00BC42DB" w:rsidRDefault="00C47E63" w:rsidP="007A6E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 Федерации профсоюзов Орловской области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информационного взаимодействия членских организаций, оказание им практической помощи в ведении информационной работы, внедрении современных информационных и цифровых технологий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совет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и практической помощи членским организациям в реализации Программы информационного взаимодействия, в том числе в части работы с профсоюзными информационными ресурсами в сети Интернет, включая социальные сети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состояния информационных ресурсов и процесса </w:t>
            </w:r>
            <w:proofErr w:type="spell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профсоюзной деятельности членских организаций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обмена с профсоюзными информационными структурами:</w:t>
            </w:r>
          </w:p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передача в членские организации актуальных информационных материалов, получаемых от ФНПР;</w:t>
            </w:r>
          </w:p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передача в ФНПР, секретарю ФНПР – представителю ФНПР в ЦФО, газету «Солидарность» информации о работе ФПОО и членских организаций, заслуживающей общественного внимания и размещения во внешних СМИ,  пропагандирующую деятельность профсоюзов, а также информацию по вопросам, требующим информационной поддержки (коллективные переговоры, акции, конфликты)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поддержание в актуальном состоянии базы контактов информационных работников членских организаций, на основе которых строится работа электронных каналов коммуникации (электронные рассылки по служебным и личным адресам электронной почты и чаты)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поддержание в актуальном состоянии базы данных информационных ресурсов членских и первичных профсоюзных организаций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B">
              <w:rPr>
                <w:rFonts w:ascii="Times New Roman" w:hAnsi="Times New Roman"/>
                <w:sz w:val="24"/>
                <w:szCs w:val="24"/>
              </w:rPr>
              <w:t>Пресс-центр ФПОО,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</w:pPr>
            <w:r w:rsidRPr="00BC42DB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и поддержание в актуальном состоянии сайта ФПОО и страниц ФПОО в социальных сетях, страницы ФПОО на сайте ФНПР, обеспечение своевременного их наполнения материалами о текущей деятельности ФПОО и членских организаций, в первую очередь по вопросам зарплаты, занятости, условий труда, социально-трудовой тематике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B">
              <w:rPr>
                <w:rFonts w:ascii="Times New Roman" w:hAnsi="Times New Roman"/>
                <w:sz w:val="24"/>
                <w:szCs w:val="24"/>
              </w:rPr>
              <w:t>Пресс-центр ФПОО,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B">
              <w:rPr>
                <w:rFonts w:ascii="Times New Roman" w:hAnsi="Times New Roman"/>
                <w:sz w:val="24"/>
                <w:szCs w:val="24"/>
              </w:rPr>
              <w:t>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выступлений руководителей ФПОО в СМИ, подготовка тематических выпусков (передач) на радио и телевидении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Пресс-центр ФПОО, 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председателям профсоюзов и профсоюзному активу в организации выступлений в СМИ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членских организаций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Проведение встреч с профсоюзным активом, онлайн-трансляций, </w:t>
            </w: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пресс-конференций руководителей территориального объединения организаций профсоюзов и его членских организаций, посвященных наиболее значимым событиям профсоюзной жизни региона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членских организаций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круглых столов, семинаров, конференций по вопросам информационной работы с участием представителей органов власти, местного самоуправления,</w:t>
            </w:r>
            <w:r w:rsidRPr="00BC42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контрольно-надзорных органов, СМИ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в рамках социального партнерства с пресс-службами органов власти и объединений работодателей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средствами массовой информации Орловской области, в том числе и через проведение конкурса ФПОО «Профсоюзный взгляд»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Заслушивание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 информационного обеспечения работы Федерации профсоюзов Орловской области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ее членских организаций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интернет-приемной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ФПОО, «горячих» телефонных линий по вопросам трудового законодательства для консультирования членов профсоюзов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инспекция труда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в соглашения всех уровней обязательств органов власти и местного самоуправления о безвозмездном сотрудничестве печатных и электронных СМИ, учредителями которых они являются, с профсоюзными организациями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заключении соглашений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профсоюзов через социальные сети, оказание помощи членским организациям в создании собственных групп в </w:t>
            </w:r>
            <w:proofErr w:type="spell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ведении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социальных сетей, региональных и федеральных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интернет-форумов</w:t>
            </w:r>
            <w:proofErr w:type="gramEnd"/>
            <w:r w:rsidRPr="00BC42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участия профсоюзных работников в дискуссиях о роли профсоюзов и организации массовых мероприятий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организации,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молодежные советы всех уровней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подписки на центральную профсоюзную газету «Солидарность»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 в год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газеты «Профсоюзный вестник»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месяц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отраслевых выпусков газеты «Профсоюзный вестник»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обращения членских организаций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информационных работников членских организаций, приобщение их к новым, современным формам информационной работы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Пресс-центр ФПОО, членские организации 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использование профсоюзной атрибутики в работе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 ФПОО, членские организации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10357" w:type="dxa"/>
            <w:gridSpan w:val="7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E63" w:rsidRPr="00BC42DB" w:rsidRDefault="00C47E63" w:rsidP="007A6E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Координационных советов организаций профсоюзов </w:t>
            </w:r>
          </w:p>
          <w:p w:rsidR="00C47E63" w:rsidRPr="00BC42DB" w:rsidRDefault="00C47E63" w:rsidP="007A6E8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муниципальных образованиях области</w:t>
            </w:r>
          </w:p>
          <w:p w:rsidR="00C47E63" w:rsidRPr="00BC42DB" w:rsidRDefault="00C47E63" w:rsidP="007A6E8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информационной деятельности организаций профсоюзов в муниципальных образованиях области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Координационные советы 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акций профсоюзов в муниципальных образованиях области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Координационные советы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освещении деятельности профсоюзов через районные средства массовой информации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Координационные советы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10357" w:type="dxa"/>
            <w:gridSpan w:val="7"/>
            <w:shd w:val="clear" w:color="auto" w:fill="auto"/>
            <w:vAlign w:val="center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7E63" w:rsidRPr="00BC42DB" w:rsidRDefault="00C47E63" w:rsidP="007A6E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BC42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2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членских организаций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E63" w:rsidRPr="00BC42DB" w:rsidTr="007A6E80">
        <w:trPr>
          <w:trHeight w:val="736"/>
        </w:trPr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информационную работу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коллегиального органа</w:t>
            </w:r>
          </w:p>
        </w:tc>
      </w:tr>
      <w:tr w:rsidR="00C47E63" w:rsidRPr="00BC42DB" w:rsidTr="007A6E80">
        <w:trPr>
          <w:trHeight w:val="289"/>
        </w:trPr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электронных баз контактов актива своих структурных организаций, с помощью которых выстраивается работа электронных каналов коммуникации с руководителями структурных организаций и активом, обеспечение своевременного наполнения этих каналов материалами о текущей деятельности обкома, в первую очередь, по вопросам зарплаты, занятости, условий труда, социально-трудовой тематике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информационной работой в своих структурных организациях, оказание им практической помощи по </w:t>
            </w: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информированию членов профсоюзов, проверка (не реже 1 раза в год) состояния информационной работы в структурных организациях (включая состояние профсоюзных стендов, наличие и ведение каналов электронных коммуникаций с членами профсоюза, подписки на Центральную профсоюзную газету «Солидарность» и т.п.) </w:t>
            </w:r>
            <w:proofErr w:type="gramEnd"/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смотров-конкурсов на лучшую постановку информационной работы</w:t>
            </w:r>
            <w:r w:rsidRPr="00BC4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лучшие профсоюзные издания в первичных профорганизациях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постоянного обмена информационными материалами между своими структурными организациями и Федерацией профсоюзов области, ЦК, ФНПР, газетами «Солидарность» и «Профсоюзный вестник». От вышестоящих профсоюзных организаций – актуальные информационные материалы (прошедшие мероприятия, акции, анонс  предстоящих мероприятий, работа с социальными партнерами, колдоговорная кампания в первичных профорганизациях, работа с молодежью и т.д.). От </w:t>
            </w:r>
            <w:proofErr w:type="spell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первичек</w:t>
            </w:r>
            <w:proofErr w:type="spell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информация, заслуживающая общественного внимания и размещения во внешних СМИ, пропагандирующая деятельность профсоюзов.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ответственных за информационную работу в областной организации профсоюза и в первичных профсоюзных организациях</w:t>
            </w:r>
            <w:proofErr w:type="gramEnd"/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BC42D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аправление наиболее важной информации о работе профсоюзных организаций во внешние СМИ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использование профсоюзной атрибутики в работе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наполнение электронных страниц на сайте ФПОО либо собственного сайта, ведение групп или личных аккаунтов в </w:t>
            </w:r>
            <w:proofErr w:type="spell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rPr>
          <w:trHeight w:val="1194"/>
        </w:trPr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положения о конкурсах и наградах для первичных профсоюзных организаций и активистов пункта об уровне подписки на газету «Солидарность»</w:t>
            </w:r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831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Заслушивание на заседаниях коллегиальных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вопросов информационного обеспечения работы профсоюзов</w:t>
            </w:r>
            <w:proofErr w:type="gramEnd"/>
          </w:p>
        </w:tc>
        <w:tc>
          <w:tcPr>
            <w:tcW w:w="2729" w:type="dxa"/>
            <w:gridSpan w:val="4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Членские организации ФПОО</w:t>
            </w:r>
          </w:p>
        </w:tc>
        <w:tc>
          <w:tcPr>
            <w:tcW w:w="1969" w:type="dxa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7E63" w:rsidRPr="00BC42DB" w:rsidTr="007A6E80">
        <w:tc>
          <w:tcPr>
            <w:tcW w:w="10357" w:type="dxa"/>
            <w:gridSpan w:val="7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7E63" w:rsidRPr="00BC42DB" w:rsidRDefault="00C47E63" w:rsidP="007A6E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первичных профсоюзных организаций</w:t>
            </w:r>
          </w:p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информационную работу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коллегиального органа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информирования членов профсоюзов в доступной и понятной форме о деятельности ППО и важнейших направлениях работы обкома (совета) отраслевого профсоюза, ФПОО, ФНПР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информационной работы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профсоюзного стенда с регулярным пополнением и обновлением (не реже, чем раз в неделю),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информацию вышестоящих профсоюзных организаций, материалы газет «Солидарность», «Профсоюзный вестник», иных профсоюзных СМИ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ind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проведение информационных собраний членов профсоюзов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подписки на газету «Солидарность» (один экземпляр на сто членов профсоюза)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ФПОО, обкомов (советов) отраслевых профсоюзов, газеты «Профсоюзный вестник» о значимых (в том числе проблемных) фактах и событиях, имеющих отношение к профсоюзной работе, социально-трудовым отношениям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страничек для размещения информации о текущей деятельности профорганизации на сайтах работодателя, вышестоящей профсоюзной организации, в социальных сетях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для информационной работы возможностей предприятия (через коллективный договор), отраслевого профсоюза, ФПОО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агитационных и информационных печатных материалов (газеты, листовки, информационные бюллетени), используя, в том числе, информацию вышестоящих профсоюзных организаций, материалы газет «Солидарность» и «Профсоюзный вестник»</w:t>
            </w:r>
            <w:proofErr w:type="gramEnd"/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постоянных контактов с обкомом (советом) отраслевого профсоюза, ФПОО, регулярное информирование о работе ППО, социально-трудовых отношениях в организации, постоянный обмен материалами с информационными структурами вышестоящих профсоюзных организаций, регулярно получая от них актуальные информационные материалы и передавая информацию о работе Комитета ППО, о социально-трудовых отношениях на предприятии, а именно: </w:t>
            </w:r>
          </w:p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DB">
              <w:rPr>
                <w:rFonts w:ascii="Times New Roman" w:hAnsi="Times New Roman"/>
                <w:sz w:val="24"/>
                <w:szCs w:val="24"/>
              </w:rPr>
              <w:t xml:space="preserve">а) заслуживающую общественного внимания и размещения во внешних СМИ, пропагандирующую деятельность профсоюза, – в вышестоящую по профсоюзной структуре организацию; </w:t>
            </w:r>
          </w:p>
          <w:p w:rsidR="00C47E63" w:rsidRPr="00BC42DB" w:rsidRDefault="00C47E63" w:rsidP="007A6E80">
            <w:pPr>
              <w:spacing w:after="0" w:line="240" w:lineRule="auto"/>
              <w:jc w:val="both"/>
            </w:pPr>
            <w:r w:rsidRPr="00BC42DB">
              <w:rPr>
                <w:rFonts w:ascii="Times New Roman" w:hAnsi="Times New Roman"/>
                <w:sz w:val="24"/>
                <w:szCs w:val="24"/>
              </w:rPr>
              <w:t>б) по вопросам, требующим информационной поддержки (коллективные переговоры, акции, конфликты), – в газету «Солидарность» и Пресс-центр ФПОО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</w:rPr>
              <w:t>Создание очных дискуссионных площадок для молодых членов профсоюза по обсуждению новых идей, предложений по развитию профсоюзного движения, участие в их реализации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и повышение квалификации </w:t>
            </w:r>
            <w:proofErr w:type="gramStart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информационную работу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ответственного за информационную работу в семинарах, круглых столах, конференциях и иных мероприятиях по вопросам деятельности профсоюзов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</w:tr>
      <w:tr w:rsidR="00C47E63" w:rsidRPr="00BC42DB" w:rsidTr="007A6E80">
        <w:tc>
          <w:tcPr>
            <w:tcW w:w="828" w:type="dxa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вышестоящие профсоюзные органы информационных материалов по основным вопросам деятельности первичной профсоюзной организации, решениям руководящих органов, обобщенным материалам - «информация с мест»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профсоюзные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7E63" w:rsidRPr="00BC42DB" w:rsidRDefault="00C47E63" w:rsidP="007A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C47E63" w:rsidRPr="00BC42DB" w:rsidRDefault="00C47E63" w:rsidP="00C47E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E63" w:rsidRDefault="00C47E63" w:rsidP="00C47E63"/>
    <w:p w:rsidR="00C47E63" w:rsidRDefault="00C47E63" w:rsidP="00C47E63"/>
    <w:p w:rsidR="00546D2E" w:rsidRDefault="00546D2E"/>
    <w:sectPr w:rsidR="005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E23"/>
    <w:multiLevelType w:val="hybridMultilevel"/>
    <w:tmpl w:val="D82E09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FA9"/>
    <w:multiLevelType w:val="hybridMultilevel"/>
    <w:tmpl w:val="25AE0516"/>
    <w:lvl w:ilvl="0" w:tplc="8D047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3"/>
    <w:rsid w:val="00000335"/>
    <w:rsid w:val="0000144E"/>
    <w:rsid w:val="00003E51"/>
    <w:rsid w:val="00012B87"/>
    <w:rsid w:val="0001519D"/>
    <w:rsid w:val="0002186B"/>
    <w:rsid w:val="00021A4C"/>
    <w:rsid w:val="0007529C"/>
    <w:rsid w:val="00086599"/>
    <w:rsid w:val="00095571"/>
    <w:rsid w:val="000A75B8"/>
    <w:rsid w:val="000B59B4"/>
    <w:rsid w:val="000D4472"/>
    <w:rsid w:val="000D7005"/>
    <w:rsid w:val="000F28C2"/>
    <w:rsid w:val="001224ED"/>
    <w:rsid w:val="0012363E"/>
    <w:rsid w:val="001663A6"/>
    <w:rsid w:val="00174B14"/>
    <w:rsid w:val="00196372"/>
    <w:rsid w:val="001A1CAA"/>
    <w:rsid w:val="001A40FE"/>
    <w:rsid w:val="001A7A61"/>
    <w:rsid w:val="001D5D37"/>
    <w:rsid w:val="001E0399"/>
    <w:rsid w:val="001E13FC"/>
    <w:rsid w:val="001E20DC"/>
    <w:rsid w:val="001E68AD"/>
    <w:rsid w:val="001E6DCA"/>
    <w:rsid w:val="001F3CE1"/>
    <w:rsid w:val="00213E83"/>
    <w:rsid w:val="002234DB"/>
    <w:rsid w:val="002235B7"/>
    <w:rsid w:val="00233641"/>
    <w:rsid w:val="00240404"/>
    <w:rsid w:val="00287B01"/>
    <w:rsid w:val="002A2AE8"/>
    <w:rsid w:val="002D46E6"/>
    <w:rsid w:val="002D5095"/>
    <w:rsid w:val="002D7AA5"/>
    <w:rsid w:val="002E6457"/>
    <w:rsid w:val="002E759D"/>
    <w:rsid w:val="0030411A"/>
    <w:rsid w:val="00305CA5"/>
    <w:rsid w:val="00343EDE"/>
    <w:rsid w:val="00366AA1"/>
    <w:rsid w:val="00377E07"/>
    <w:rsid w:val="00384068"/>
    <w:rsid w:val="0039308B"/>
    <w:rsid w:val="003B16B2"/>
    <w:rsid w:val="003B69EA"/>
    <w:rsid w:val="003C0D5E"/>
    <w:rsid w:val="003D7173"/>
    <w:rsid w:val="003E724D"/>
    <w:rsid w:val="003F5BF9"/>
    <w:rsid w:val="00406CC0"/>
    <w:rsid w:val="004109F8"/>
    <w:rsid w:val="00445BEF"/>
    <w:rsid w:val="0049270A"/>
    <w:rsid w:val="004B39BD"/>
    <w:rsid w:val="004B515E"/>
    <w:rsid w:val="004D38C7"/>
    <w:rsid w:val="004E3A9E"/>
    <w:rsid w:val="004E6A31"/>
    <w:rsid w:val="004F126D"/>
    <w:rsid w:val="004F369E"/>
    <w:rsid w:val="004F4EC2"/>
    <w:rsid w:val="00501B80"/>
    <w:rsid w:val="005062BC"/>
    <w:rsid w:val="00531DE8"/>
    <w:rsid w:val="00543D4D"/>
    <w:rsid w:val="00546D2E"/>
    <w:rsid w:val="00555295"/>
    <w:rsid w:val="00567FA5"/>
    <w:rsid w:val="00573B7A"/>
    <w:rsid w:val="005A233B"/>
    <w:rsid w:val="005C6465"/>
    <w:rsid w:val="006003D2"/>
    <w:rsid w:val="00606F3D"/>
    <w:rsid w:val="00625AC3"/>
    <w:rsid w:val="00662EF8"/>
    <w:rsid w:val="00673313"/>
    <w:rsid w:val="00685BB9"/>
    <w:rsid w:val="006E1E74"/>
    <w:rsid w:val="006F2BFA"/>
    <w:rsid w:val="006F4A28"/>
    <w:rsid w:val="0070658A"/>
    <w:rsid w:val="0071464A"/>
    <w:rsid w:val="00745878"/>
    <w:rsid w:val="00761D45"/>
    <w:rsid w:val="007759B4"/>
    <w:rsid w:val="007772E1"/>
    <w:rsid w:val="00780A02"/>
    <w:rsid w:val="007829AE"/>
    <w:rsid w:val="007852D7"/>
    <w:rsid w:val="00792AC6"/>
    <w:rsid w:val="007A7D89"/>
    <w:rsid w:val="007B0F82"/>
    <w:rsid w:val="007C573A"/>
    <w:rsid w:val="007F1DBF"/>
    <w:rsid w:val="007F7354"/>
    <w:rsid w:val="00824795"/>
    <w:rsid w:val="00832902"/>
    <w:rsid w:val="008531BA"/>
    <w:rsid w:val="00863A01"/>
    <w:rsid w:val="008706FA"/>
    <w:rsid w:val="00871597"/>
    <w:rsid w:val="00875E54"/>
    <w:rsid w:val="008764D5"/>
    <w:rsid w:val="008859B8"/>
    <w:rsid w:val="00893126"/>
    <w:rsid w:val="0089348D"/>
    <w:rsid w:val="008A62B9"/>
    <w:rsid w:val="008B72D2"/>
    <w:rsid w:val="008F4BD4"/>
    <w:rsid w:val="00914D86"/>
    <w:rsid w:val="00916FB5"/>
    <w:rsid w:val="0092077C"/>
    <w:rsid w:val="00924DB3"/>
    <w:rsid w:val="00955AB7"/>
    <w:rsid w:val="00962886"/>
    <w:rsid w:val="009632F2"/>
    <w:rsid w:val="009752A8"/>
    <w:rsid w:val="00976243"/>
    <w:rsid w:val="0098125D"/>
    <w:rsid w:val="00983386"/>
    <w:rsid w:val="00993A53"/>
    <w:rsid w:val="009D3D87"/>
    <w:rsid w:val="009E3F5A"/>
    <w:rsid w:val="00A02852"/>
    <w:rsid w:val="00A317AD"/>
    <w:rsid w:val="00A345AD"/>
    <w:rsid w:val="00A4229D"/>
    <w:rsid w:val="00A847FB"/>
    <w:rsid w:val="00AA5E0D"/>
    <w:rsid w:val="00AB52FE"/>
    <w:rsid w:val="00AC6EA2"/>
    <w:rsid w:val="00AD28AC"/>
    <w:rsid w:val="00AD66E5"/>
    <w:rsid w:val="00AE28E7"/>
    <w:rsid w:val="00B02F9D"/>
    <w:rsid w:val="00B04361"/>
    <w:rsid w:val="00B24FC7"/>
    <w:rsid w:val="00B30541"/>
    <w:rsid w:val="00B622E4"/>
    <w:rsid w:val="00B654C2"/>
    <w:rsid w:val="00B7523D"/>
    <w:rsid w:val="00B82850"/>
    <w:rsid w:val="00B8520D"/>
    <w:rsid w:val="00BA4052"/>
    <w:rsid w:val="00BD02B2"/>
    <w:rsid w:val="00BD08A1"/>
    <w:rsid w:val="00BD39CE"/>
    <w:rsid w:val="00BF1E4E"/>
    <w:rsid w:val="00C139B6"/>
    <w:rsid w:val="00C42CD1"/>
    <w:rsid w:val="00C44E05"/>
    <w:rsid w:val="00C47E63"/>
    <w:rsid w:val="00C559B2"/>
    <w:rsid w:val="00C56B2E"/>
    <w:rsid w:val="00C60E97"/>
    <w:rsid w:val="00C62820"/>
    <w:rsid w:val="00C76877"/>
    <w:rsid w:val="00C77CA8"/>
    <w:rsid w:val="00C87030"/>
    <w:rsid w:val="00C936CB"/>
    <w:rsid w:val="00C95A86"/>
    <w:rsid w:val="00C960FF"/>
    <w:rsid w:val="00CC2917"/>
    <w:rsid w:val="00CC58BB"/>
    <w:rsid w:val="00CC7E07"/>
    <w:rsid w:val="00CD1F88"/>
    <w:rsid w:val="00D002D0"/>
    <w:rsid w:val="00D27E48"/>
    <w:rsid w:val="00D30F65"/>
    <w:rsid w:val="00D86742"/>
    <w:rsid w:val="00D91291"/>
    <w:rsid w:val="00DA7D0C"/>
    <w:rsid w:val="00DE2BD0"/>
    <w:rsid w:val="00DE6D71"/>
    <w:rsid w:val="00E0323D"/>
    <w:rsid w:val="00E052EE"/>
    <w:rsid w:val="00E14D1F"/>
    <w:rsid w:val="00E24D3F"/>
    <w:rsid w:val="00E24D83"/>
    <w:rsid w:val="00E41510"/>
    <w:rsid w:val="00E6452F"/>
    <w:rsid w:val="00E8173A"/>
    <w:rsid w:val="00E84428"/>
    <w:rsid w:val="00E86E0C"/>
    <w:rsid w:val="00E97D88"/>
    <w:rsid w:val="00EB3C85"/>
    <w:rsid w:val="00EC3212"/>
    <w:rsid w:val="00EE1E00"/>
    <w:rsid w:val="00EE245B"/>
    <w:rsid w:val="00EF53D2"/>
    <w:rsid w:val="00F054BC"/>
    <w:rsid w:val="00F06282"/>
    <w:rsid w:val="00F2255E"/>
    <w:rsid w:val="00F44A2B"/>
    <w:rsid w:val="00F44EAE"/>
    <w:rsid w:val="00F47DF9"/>
    <w:rsid w:val="00F63584"/>
    <w:rsid w:val="00F701D4"/>
    <w:rsid w:val="00F73959"/>
    <w:rsid w:val="00F918E4"/>
    <w:rsid w:val="00F94F1F"/>
    <w:rsid w:val="00FA4F1A"/>
    <w:rsid w:val="00FB5F9A"/>
    <w:rsid w:val="00FD71D1"/>
    <w:rsid w:val="00FE1AC3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2022-06-07T09:15:00Z</dcterms:created>
  <dcterms:modified xsi:type="dcterms:W3CDTF">2022-06-07T09:16:00Z</dcterms:modified>
</cp:coreProperties>
</file>